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rozporządzenie w sprawie maszyn UE 2023/1230</w:t>
      </w:r>
    </w:p>
    <w:p>
      <w:pPr>
        <w:spacing w:before="0" w:after="500" w:line="264" w:lineRule="auto"/>
      </w:pPr>
      <w:r>
        <w:rPr>
          <w:rFonts w:ascii="calibri" w:hAnsi="calibri" w:eastAsia="calibri" w:cs="calibri"/>
          <w:sz w:val="36"/>
          <w:szCs w:val="36"/>
          <w:b/>
        </w:rPr>
        <w:t xml:space="preserve">Unia Europejska wprowadziła Rozporządzenie 2023/1230, które zastępuje dotychczasową Dyrektywę Maszynową 2006/42/WE, wprowadzając istotne zmiany w zakresie bezpieczeństwa maszyn. Nowe przepisy mają na celu dostosowanie regulacji do dynamicznie rozwijającej się technologii oraz zapewnienie wyższego poziomu ochrony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Rozporządzenie w sprawie maszyn 2023/1230 będzie obowiązywać od</w:t>
      </w:r>
      <w:r>
        <w:rPr>
          <w:rFonts w:ascii="calibri" w:hAnsi="calibri" w:eastAsia="calibri" w:cs="calibri"/>
          <w:sz w:val="24"/>
          <w:szCs w:val="24"/>
          <w:b/>
        </w:rPr>
        <w:t xml:space="preserve"> 20 stycznia 2027</w:t>
      </w:r>
      <w:r>
        <w:rPr>
          <w:rFonts w:ascii="calibri" w:hAnsi="calibri" w:eastAsia="calibri" w:cs="calibri"/>
          <w:sz w:val="24"/>
          <w:szCs w:val="24"/>
        </w:rPr>
        <w:t xml:space="preserve"> roku.</w:t>
      </w:r>
    </w:p>
    <w:p>
      <w:pPr>
        <w:spacing w:before="0" w:after="300"/>
      </w:pPr>
      <w:r>
        <w:rPr>
          <w:rFonts w:ascii="calibri" w:hAnsi="calibri" w:eastAsia="calibri" w:cs="calibri"/>
          <w:sz w:val="24"/>
          <w:szCs w:val="24"/>
          <w:b/>
        </w:rPr>
        <w:t xml:space="preserve">Zmiany w zakresie stosowania i definicji</w:t>
      </w:r>
    </w:p>
    <w:p>
      <w:r>
        <w:rPr>
          <w:rFonts w:ascii="calibri" w:hAnsi="calibri" w:eastAsia="calibri" w:cs="calibri"/>
          <w:sz w:val="24"/>
          <w:szCs w:val="24"/>
        </w:rPr>
        <w:t xml:space="preserve">Rozporządzenie rozszerza zakres stosowania, obejmując między innymi maszyny autonomiczne, zaawansowane technologie, takie jak sztuczna inteligencja, systemy cyfrowe. Jednocześnie wykluczono niektóre kategorie produktów, w tym maszyny wojskowe, urządzenia w parkach rozrywki oraz maszyny stosowane w przemyśle jądrowym. Wprowadzono również nowe definicje, takie jak „element bezpieczeństwa”, obejmujący zarówno urządzenia fizyczne, jak i cyfrowe, oraz „istotna modyfikacja”, odnosząca się do zmian wpływających na bezpieczeństwo, w tym aktualizacji oprogramowania.​</w:t>
      </w:r>
    </w:p>
    <w:p>
      <w:pPr>
        <w:spacing w:before="0" w:after="300"/>
      </w:pPr>
      <w:r>
        <w:rPr>
          <w:rFonts w:ascii="calibri" w:hAnsi="calibri" w:eastAsia="calibri" w:cs="calibri"/>
          <w:sz w:val="24"/>
          <w:szCs w:val="24"/>
          <w:b/>
        </w:rPr>
        <w:t xml:space="preserve">Integracja technologii cyfrowych i wymogi cyberbezpieczeństwa</w:t>
      </w:r>
    </w:p>
    <w:p>
      <w:r>
        <w:rPr>
          <w:rFonts w:ascii="calibri" w:hAnsi="calibri" w:eastAsia="calibri" w:cs="calibri"/>
          <w:sz w:val="24"/>
          <w:szCs w:val="24"/>
        </w:rPr>
        <w:t xml:space="preserve">Nowe przepisy kładą duży nacisk na integrację technologii cyfrowych. Maszyny muszą być odporne na zagrożenia cyfrowe, takie jak ataki hakerskie, a oprogramowanie stanowi integralny element bezpieczeństwa, traktowany na równi z fizycznymi komponentami. Producent jest zobowiązany do zapewnienia dostępności instrukcji obsługi przez co najmniej 10 lat, z możliwością ich wydruku na żądanie użytkownika.​</w:t>
      </w:r>
    </w:p>
    <w:p>
      <w:pPr>
        <w:spacing w:before="0" w:after="300"/>
      </w:pPr>
      <w:r>
        <w:rPr>
          <w:rFonts w:ascii="calibri" w:hAnsi="calibri" w:eastAsia="calibri" w:cs="calibri"/>
          <w:sz w:val="24"/>
          <w:szCs w:val="24"/>
          <w:b/>
        </w:rPr>
        <w:t xml:space="preserve">Nowe procedury oceny zgodności i obowiązki producentów</w:t>
      </w:r>
    </w:p>
    <w:p>
      <w:r>
        <w:rPr>
          <w:rFonts w:ascii="calibri" w:hAnsi="calibri" w:eastAsia="calibri" w:cs="calibri"/>
          <w:sz w:val="24"/>
          <w:szCs w:val="24"/>
        </w:rPr>
        <w:t xml:space="preserve">Wprowadzono bardziej rygorystyczne procedury oceny zgodności dla maszyn wysokiego ryzyka, zwłaszcza tych wykorzystujących zaawansowane technologie. Producent musi uwzględnić zarówno ryzyko mechaniczne, jak i cyfrowe, w tym związane z aktualizacjami oprogramowania.</w:t>
      </w:r>
    </w:p>
    <w:p>
      <w:pPr>
        <w:spacing w:before="0" w:after="300"/>
      </w:pPr>
      <w:r>
        <w:rPr>
          <w:rFonts w:ascii="calibri" w:hAnsi="calibri" w:eastAsia="calibri" w:cs="calibri"/>
          <w:sz w:val="24"/>
          <w:szCs w:val="24"/>
          <w:b/>
        </w:rPr>
        <w:t xml:space="preserve">Obowiązki importerów i dystrybutorów oraz nadzór rynku</w:t>
      </w:r>
    </w:p>
    <w:p>
      <w:r>
        <w:rPr>
          <w:rFonts w:ascii="calibri" w:hAnsi="calibri" w:eastAsia="calibri" w:cs="calibri"/>
          <w:sz w:val="24"/>
          <w:szCs w:val="24"/>
        </w:rPr>
        <w:t xml:space="preserve">Importerzy muszą upewnić się, że produkt spełnia wymogi zgodności oraz przechowywać dokumentację techniczną. Dystrybutorzy są zobowiązani do zapewnienia zgodności produktu przed jego dalszą sprzedażą. Wzmocniono również mechanizmy nadzoru rynku oraz wymiany informacji między państwami członkowskimi, aby skuteczniej egzekwować przepisy.​</w:t>
      </w:r>
    </w:p>
    <w:p>
      <w:pPr>
        <w:spacing w:before="0" w:after="300"/>
      </w:pPr>
      <w:r>
        <w:rPr>
          <w:rFonts w:ascii="calibri" w:hAnsi="calibri" w:eastAsia="calibri" w:cs="calibri"/>
          <w:sz w:val="24"/>
          <w:szCs w:val="24"/>
          <w:b/>
        </w:rPr>
        <w:t xml:space="preserve">Sankcje za niezgodność z przepisami</w:t>
      </w:r>
    </w:p>
    <w:p>
      <w:r>
        <w:rPr>
          <w:rFonts w:ascii="calibri" w:hAnsi="calibri" w:eastAsia="calibri" w:cs="calibri"/>
          <w:sz w:val="24"/>
          <w:szCs w:val="24"/>
        </w:rPr>
        <w:t xml:space="preserve">Państwa członkowskie są zobowiązane do wprowadzenia skutecznych sankcji za niezgodność z przepisami. Każda „istotna modyfikacja” maszyny, w tym aktualizacja oprogramowania, wymaga ponownej oceny zgodności, co ma na celu zapewnienie ciągłego bezpieczeństwa użytkowania.​</w:t>
      </w:r>
    </w:p>
    <w:p>
      <w:pPr>
        <w:spacing w:before="0" w:after="300"/>
      </w:pPr>
      <w:r>
        <w:rPr>
          <w:rFonts w:ascii="calibri" w:hAnsi="calibri" w:eastAsia="calibri" w:cs="calibri"/>
          <w:sz w:val="24"/>
          <w:szCs w:val="24"/>
        </w:rPr>
        <w:t xml:space="preserve">Nowe Rozporządzenie UE 2023/1230 stanowi znaczący krok w kierunku dostosowania przepisów do współczesnych wyzwań technologicznych, kładąc nacisk na cyberbezpieczeństwo oraz odpowiedzialność producentów, importerów i dystrybutorów w całym łańcuchu dostaw.​</w:t>
      </w:r>
    </w:p>
    <w:p>
      <w:pPr>
        <w:spacing w:before="0" w:after="300"/>
      </w:pPr>
      <w:r>
        <w:rPr>
          <w:rFonts w:ascii="calibri" w:hAnsi="calibri" w:eastAsia="calibri" w:cs="calibri"/>
          <w:sz w:val="24"/>
          <w:szCs w:val="24"/>
        </w:rPr>
        <w:t xml:space="preserve">Więcej informacji na ten temat można znaleźć w pełnym artykule dostępnym tutaj: </w:t>
      </w:r>
      <w:hyperlink r:id="rId7" w:history="1">
        <w:r>
          <w:rPr>
            <w:rFonts w:ascii="calibri" w:hAnsi="calibri" w:eastAsia="calibri" w:cs="calibri"/>
            <w:color w:val="0000FF"/>
            <w:sz w:val="24"/>
            <w:szCs w:val="24"/>
            <w:u w:val="single"/>
          </w:rPr>
          <w:t xml:space="preserve">FAQ - rozporządzenie w sprawie maszyn</w:t>
        </w:r>
      </w:hyperlink>
      <w:hyperlink r:id="rId8"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m-safety.pl/faq-rozporzadzenie-w-sprawie-maszyn-2023-1230/?utm_source=biuro+prasowe&amp;amp;amp;utm_medium=whitepress&amp;amp;amp;utm_id=03" TargetMode="External"/><Relationship Id="rId8" Type="http://schemas.openxmlformats.org/officeDocument/2006/relationships/hyperlink" Target="https://jm-safety.pl/faq-rozporzadzenie-w-sprawie-maszyn-2023-1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2025-12-15T09:17:17+01:00</dcterms:created>
  <dcterms:modified xsi:type="dcterms:W3CDTF">2025-12-15T09:17:17+01:00</dcterms:modified>
</cp:coreProperties>
</file>

<file path=docProps/custom.xml><?xml version="1.0" encoding="utf-8"?>
<Properties xmlns="http://schemas.openxmlformats.org/officeDocument/2006/custom-properties" xmlns:vt="http://schemas.openxmlformats.org/officeDocument/2006/docPropsVTypes"/>
</file>